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4686B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9026C1" w:rsidRPr="009026C1">
        <w:rPr>
          <w:rFonts w:ascii="Verdana" w:hAnsi="Verdana"/>
          <w:b/>
          <w:bCs/>
          <w:sz w:val="18"/>
          <w:szCs w:val="18"/>
        </w:rPr>
        <w:t xml:space="preserve">„Údržba dvoucestných vozidel </w:t>
      </w:r>
      <w:proofErr w:type="spellStart"/>
      <w:r w:rsidR="009026C1" w:rsidRPr="009026C1">
        <w:rPr>
          <w:rFonts w:ascii="Verdana" w:hAnsi="Verdana"/>
          <w:b/>
          <w:bCs/>
          <w:sz w:val="18"/>
          <w:szCs w:val="18"/>
        </w:rPr>
        <w:t>Liebherr</w:t>
      </w:r>
      <w:proofErr w:type="spellEnd"/>
      <w:r w:rsidR="009026C1" w:rsidRPr="009026C1">
        <w:rPr>
          <w:rFonts w:ascii="Verdana" w:hAnsi="Verdana"/>
          <w:b/>
          <w:bCs/>
          <w:sz w:val="18"/>
          <w:szCs w:val="18"/>
        </w:rPr>
        <w:t xml:space="preserve"> A 922 </w:t>
      </w:r>
      <w:proofErr w:type="spellStart"/>
      <w:r w:rsidR="009026C1" w:rsidRPr="009026C1">
        <w:rPr>
          <w:rFonts w:ascii="Verdana" w:hAnsi="Verdana"/>
          <w:b/>
          <w:bCs/>
          <w:sz w:val="18"/>
          <w:szCs w:val="18"/>
        </w:rPr>
        <w:t>rail</w:t>
      </w:r>
      <w:proofErr w:type="spellEnd"/>
      <w:r w:rsidR="009026C1" w:rsidRPr="009026C1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909512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026C1" w:rsidRPr="009026C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6902334">
    <w:abstractNumId w:val="5"/>
  </w:num>
  <w:num w:numId="2" w16cid:durableId="511261053">
    <w:abstractNumId w:val="1"/>
  </w:num>
  <w:num w:numId="3" w16cid:durableId="157698670">
    <w:abstractNumId w:val="2"/>
  </w:num>
  <w:num w:numId="4" w16cid:durableId="531529247">
    <w:abstractNumId w:val="4"/>
  </w:num>
  <w:num w:numId="5" w16cid:durableId="1967198207">
    <w:abstractNumId w:val="0"/>
  </w:num>
  <w:num w:numId="6" w16cid:durableId="64189403">
    <w:abstractNumId w:val="6"/>
  </w:num>
  <w:num w:numId="7" w16cid:durableId="1628126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0537C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26C1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0537C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